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385162" w:rsidRDefault="00986C64" w:rsidP="00385162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ascii="IranNastaliq" w:hAnsi="IranNastaliq" w:cs="B Titr"/>
          <w:noProof/>
          <w:sz w:val="28"/>
          <w:szCs w:val="28"/>
          <w:rtl/>
        </w:rPr>
        <w:pict>
          <v:roundrect id="_x0000_s1026" style="position:absolute;left:0;text-align:left;margin-left:42.75pt;margin-top:-11.9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385162" w:rsidRPr="00CF436A" w:rsidRDefault="00385162" w:rsidP="00385162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xbxContent>
            </v:textbox>
          </v:roundrect>
        </w:pict>
      </w:r>
      <w:r w:rsidR="0038516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591E73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</w:t>
      </w:r>
      <w:r w:rsidR="007930E4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مطب </w:t>
      </w:r>
      <w:r w:rsidR="00A02B92" w:rsidRPr="00385162">
        <w:rPr>
          <w:rFonts w:ascii="IranNastaliq" w:hAnsi="IranNastaliq" w:cs="B Titr"/>
          <w:sz w:val="28"/>
          <w:szCs w:val="28"/>
          <w:rtl/>
          <w:lang w:bidi="fa-IR"/>
        </w:rPr>
        <w:t>پزشک</w:t>
      </w:r>
      <w:r w:rsidR="001A741C" w:rsidRPr="00385162">
        <w:rPr>
          <w:rFonts w:ascii="IranNastaliq" w:hAnsi="IranNastaliq" w:cs="B Titr"/>
          <w:sz w:val="28"/>
          <w:szCs w:val="28"/>
          <w:rtl/>
          <w:lang w:bidi="fa-IR"/>
        </w:rPr>
        <w:t>ان</w:t>
      </w:r>
      <w:r w:rsidR="00E570CE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 </w:t>
      </w:r>
      <w:r w:rsidR="004F7330" w:rsidRPr="00385162">
        <w:rPr>
          <w:rFonts w:ascii="IranNastaliq" w:hAnsi="IranNastaliq" w:cs="B Titr"/>
          <w:sz w:val="28"/>
          <w:szCs w:val="28"/>
          <w:rtl/>
          <w:lang w:bidi="fa-IR"/>
        </w:rPr>
        <w:t>متخصص</w:t>
      </w:r>
      <w:r w:rsidR="00E570CE" w:rsidRPr="0038516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و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پزشک: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تاریخ اعتبار پروانه مطب :                   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</w:p>
    <w:p w:rsidR="002032FA" w:rsidRPr="001C23B0" w:rsidRDefault="00EF7F76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نظام پزشکی  :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کد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ملی دارنده 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وانه :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تلفن ثابت و همراه : 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تاریخ و ساعت بازدید :</w:t>
      </w:r>
      <w:r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پروانه مطب : </w:t>
      </w:r>
      <w:r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 خاص*:</w:t>
      </w:r>
    </w:p>
    <w:p w:rsidR="00CA5F4C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 درج در پروانه**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مجوزها (تاریخ  اعتبارمجوز-مرجع صدور)***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گرایشهای  مندرج در تابلو:</w:t>
      </w:r>
    </w:p>
    <w:tbl>
      <w:tblPr>
        <w:tblStyle w:val="TableGrid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5805"/>
        <w:gridCol w:w="425"/>
        <w:gridCol w:w="425"/>
        <w:gridCol w:w="425"/>
        <w:gridCol w:w="3544"/>
      </w:tblGrid>
      <w:tr w:rsidR="007B68E8" w:rsidTr="007B68E8">
        <w:trPr>
          <w:trHeight w:val="564"/>
        </w:trPr>
        <w:tc>
          <w:tcPr>
            <w:tcW w:w="5805" w:type="dxa"/>
            <w:vMerge w:val="restart"/>
            <w:shd w:val="clear" w:color="auto" w:fill="A8D08D" w:themeFill="accent6" w:themeFillTint="99"/>
          </w:tcPr>
          <w:p w:rsidR="007B68E8" w:rsidRPr="00CA5F4C" w:rsidRDefault="007B68E8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7B68E8" w:rsidRPr="00CA5F4C" w:rsidRDefault="007B68E8" w:rsidP="001A17DD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1275" w:type="dxa"/>
            <w:gridSpan w:val="3"/>
            <w:shd w:val="clear" w:color="auto" w:fill="A8D08D" w:themeFill="accent6" w:themeFillTint="99"/>
          </w:tcPr>
          <w:p w:rsidR="007B68E8" w:rsidRPr="00CA5F4C" w:rsidRDefault="007B68E8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3544" w:type="dxa"/>
            <w:vMerge w:val="restart"/>
            <w:shd w:val="clear" w:color="auto" w:fill="A8D08D" w:themeFill="accent6" w:themeFillTint="99"/>
          </w:tcPr>
          <w:p w:rsidR="007B68E8" w:rsidRPr="00CA5F4C" w:rsidRDefault="007B68E8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7B68E8" w:rsidRPr="00CA5F4C" w:rsidRDefault="007B68E8" w:rsidP="001A17DD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7B68E8" w:rsidTr="007778B0">
        <w:trPr>
          <w:trHeight w:val="73"/>
        </w:trPr>
        <w:tc>
          <w:tcPr>
            <w:tcW w:w="5805" w:type="dxa"/>
            <w:vMerge/>
          </w:tcPr>
          <w:p w:rsidR="007B68E8" w:rsidRPr="0041662A" w:rsidRDefault="007B68E8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7B68E8" w:rsidRPr="00E93894" w:rsidRDefault="007B68E8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7B68E8" w:rsidRPr="00E93894" w:rsidRDefault="007B68E8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7B68E8" w:rsidRPr="00E93894" w:rsidRDefault="007B68E8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vMerge/>
          </w:tcPr>
          <w:p w:rsidR="007B68E8" w:rsidRPr="0041662A" w:rsidRDefault="007B68E8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پزشک دارای پروانه طبابت معتبرمی باشد.</w:t>
            </w:r>
            <w:r w:rsidR="00DE47CC">
              <w:rPr>
                <w:rFonts w:cs="B Mitra" w:hint="cs"/>
                <w:rtl/>
                <w:lang w:bidi="fa-IR"/>
              </w:rPr>
              <w:t>اصل پروانه در معرض دید نصب می باشد.</w:t>
            </w: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441"/>
        </w:trPr>
        <w:tc>
          <w:tcPr>
            <w:tcW w:w="5805" w:type="dxa"/>
            <w:vAlign w:val="center"/>
          </w:tcPr>
          <w:p w:rsidR="007B68E8" w:rsidRPr="00243E1D" w:rsidRDefault="007B68E8" w:rsidP="00243E1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واحد تزریقات دارای مجوز می باشد</w:t>
            </w:r>
          </w:p>
        </w:tc>
        <w:tc>
          <w:tcPr>
            <w:tcW w:w="425" w:type="dxa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623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متصدی تزریقات شرا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یط لازم جهت انجام تزریقات دارد.</w:t>
            </w: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623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تزریقات ، سرم تراپی ، بخیه و پانسمان در مطب بدون داشتن واحد تزریقات انجام می شود. </w:t>
            </w:r>
          </w:p>
        </w:tc>
        <w:tc>
          <w:tcPr>
            <w:tcW w:w="425" w:type="dxa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اقدامات درمانی- تشخیصی غیر مجازانجام نمی شود</w:t>
            </w:r>
          </w:p>
        </w:tc>
        <w:tc>
          <w:tcPr>
            <w:tcW w:w="425" w:type="dxa"/>
          </w:tcPr>
          <w:p w:rsidR="007B68E8" w:rsidRPr="00575E3D" w:rsidRDefault="007B68E8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575E3D" w:rsidRDefault="007B68E8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اندازه  ، تعداد و عناوین تابلو استانداردمی باشد.</w:t>
            </w:r>
            <w:r w:rsidR="00DE47CC">
              <w:rPr>
                <w:rFonts w:cs="B Mitra" w:hint="cs"/>
                <w:rtl/>
                <w:lang w:bidi="fa-IR"/>
              </w:rPr>
              <w:t>(عدم درج عنوان کلینیک، مرکز و...)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دفتر ثبت مشخصات جهت بیمار</w:t>
            </w:r>
            <w:r>
              <w:rPr>
                <w:rFonts w:cs="B Mitra" w:hint="cs"/>
                <w:rtl/>
                <w:lang w:bidi="fa-IR"/>
              </w:rPr>
              <w:t xml:space="preserve">ان درواحد تزريقات وجود دارد  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برای کلیه مراجعین پرونده تشکیل می شود.  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9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الزامات ایین نامه ضوابط و تسهیلات مطب در مرحله تاسیس رعایت گردیده است.</w:t>
            </w: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9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فضای فیزیکی ، تغییری در مقایسه با پلان قبلی ایجاد نشده است. </w:t>
            </w: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9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صورت داشتن واحد تزریقات فضای فیزیکی استاندارد لازم را دارد</w:t>
            </w: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7B68E8" w:rsidP="00AB46A6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سوابق مصونيت </w:t>
            </w:r>
            <w:r w:rsidRPr="00243E1D">
              <w:rPr>
                <w:rFonts w:cs="B Mitra" w:hint="cs"/>
                <w:rtl/>
                <w:lang w:bidi="fa-IR"/>
              </w:rPr>
              <w:t xml:space="preserve"> بر عليه هپاتيت </w:t>
            </w:r>
            <w:r w:rsidRPr="00243E1D">
              <w:rPr>
                <w:rFonts w:cs="B Mitra"/>
                <w:lang w:bidi="fa-IR"/>
              </w:rPr>
              <w:t>B</w:t>
            </w:r>
            <w:r w:rsidRPr="00243E1D">
              <w:rPr>
                <w:rFonts w:cs="B Mitra" w:hint="cs"/>
                <w:rtl/>
                <w:lang w:bidi="fa-IR"/>
              </w:rPr>
              <w:t xml:space="preserve"> در مطبهايي كه تزريقات ،پانسمان،جراحي هاي سرپايي و يا معاينات زنان به عمل مي آورند، وجود دارد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AB46A6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CA70A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ظروف جمع آوري پسماندهاي نوك تيز و برنده(سفتي باكس) وجود دارد</w:t>
            </w: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70A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براي تميز كردن كف و سطوح از محلول ضدعفوني كننده مناسب استفاده می گردد. 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CA70A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از پگ های غیراستريل با فاقد شرايط استاندارد استفاده نمي شود</w:t>
            </w: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CA70A7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E24798">
        <w:trPr>
          <w:trHeight w:val="390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تخت های مناسب جهت معاينه و تزریقات وجود دارد. </w:t>
            </w: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575E3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7B68E8" w:rsidP="00F92C2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ست معاينه در مطب وجود دارد.</w:t>
            </w: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F92C2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lastRenderedPageBreak/>
              <w:t xml:space="preserve">ست احياء و داروهاي اورژانس وجود دارد 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تجهیزات تشخیصی و درمانی مرتبط با تخصص مربوطه </w:t>
            </w:r>
            <w:r>
              <w:rPr>
                <w:rFonts w:cs="B Mitra" w:hint="cs"/>
                <w:rtl/>
                <w:lang w:bidi="fa-IR"/>
              </w:rPr>
              <w:t>وجود دارد</w:t>
            </w:r>
            <w:r w:rsidRPr="00243E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جهت استريل كردن وسايل از فور یااتوكلاو كلاس </w:t>
            </w:r>
            <w:r w:rsidRPr="00243E1D">
              <w:rPr>
                <w:rFonts w:cs="B Mitra"/>
                <w:lang w:bidi="fa-IR"/>
              </w:rPr>
              <w:t>B</w:t>
            </w:r>
            <w:r w:rsidRPr="00243E1D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83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DE47CC">
        <w:trPr>
          <w:trHeight w:val="360"/>
        </w:trPr>
        <w:tc>
          <w:tcPr>
            <w:tcW w:w="5805" w:type="dxa"/>
          </w:tcPr>
          <w:p w:rsidR="007B68E8" w:rsidRPr="00243E1D" w:rsidRDefault="00DE47CC" w:rsidP="00EF352A">
            <w:pPr>
              <w:bidi/>
              <w:rPr>
                <w:rFonts w:cs="B Mitra"/>
                <w:rtl/>
                <w:lang w:bidi="fa-IR"/>
              </w:rPr>
            </w:pPr>
            <w:r w:rsidRPr="00DE47CC">
              <w:rPr>
                <w:rFonts w:cs="B Mitra" w:hint="cs"/>
                <w:rtl/>
                <w:lang w:bidi="fa-IR"/>
              </w:rPr>
              <w:t>حفظ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حریم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خصوصی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بیمار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در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زمان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معاینه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رعایت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می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شود</w:t>
            </w:r>
            <w:r w:rsidRPr="00DE47CC">
              <w:rPr>
                <w:rFonts w:cs="B Mitra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DE47CC" w:rsidP="00EF352A">
            <w:pPr>
              <w:bidi/>
              <w:rPr>
                <w:rFonts w:cs="B Mitra"/>
                <w:rtl/>
                <w:lang w:bidi="fa-IR"/>
              </w:rPr>
            </w:pPr>
            <w:r w:rsidRPr="00DE47CC">
              <w:rPr>
                <w:rFonts w:cs="B Mitra" w:hint="cs"/>
                <w:rtl/>
                <w:lang w:bidi="fa-IR"/>
              </w:rPr>
              <w:t>تبليغات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غير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مجاز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و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يا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گمراه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كننده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وجود</w:t>
            </w:r>
            <w:r w:rsidRPr="00DE47CC">
              <w:rPr>
                <w:rFonts w:cs="B Mitra"/>
                <w:rtl/>
                <w:lang w:bidi="fa-IR"/>
              </w:rPr>
              <w:t xml:space="preserve"> </w:t>
            </w:r>
            <w:r w:rsidRPr="00DE47CC">
              <w:rPr>
                <w:rFonts w:cs="B Mitra" w:hint="cs"/>
                <w:rtl/>
                <w:lang w:bidi="fa-IR"/>
              </w:rPr>
              <w:t>ندارد</w:t>
            </w:r>
            <w:r w:rsidRPr="00DE47CC">
              <w:rPr>
                <w:rFonts w:cs="B Mitra"/>
                <w:rtl/>
                <w:lang w:bidi="fa-IR"/>
              </w:rPr>
              <w:t>.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361"/>
        </w:trPr>
        <w:tc>
          <w:tcPr>
            <w:tcW w:w="5805" w:type="dxa"/>
          </w:tcPr>
          <w:p w:rsidR="007B68E8" w:rsidRPr="00243E1D" w:rsidRDefault="00DE47CC" w:rsidP="00EF352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مجوز تبلیغات موجود است و با خدمات انجام شده مطابقت دارد 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E47CC" w:rsidRPr="00CA5F4C" w:rsidTr="00FE2B61">
        <w:trPr>
          <w:trHeight w:val="361"/>
        </w:trPr>
        <w:tc>
          <w:tcPr>
            <w:tcW w:w="5805" w:type="dxa"/>
          </w:tcPr>
          <w:p w:rsidR="00DE47CC" w:rsidRDefault="00DE47CC" w:rsidP="00EF352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 بیمه های پایه قرارداد دارند.</w:t>
            </w: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DE47CC" w:rsidRPr="00243E1D" w:rsidRDefault="00DE47CC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DE47CC" w:rsidRPr="00CA5F4C" w:rsidTr="00FE2B61">
        <w:trPr>
          <w:trHeight w:val="361"/>
        </w:trPr>
        <w:tc>
          <w:tcPr>
            <w:tcW w:w="5805" w:type="dxa"/>
          </w:tcPr>
          <w:p w:rsidR="00DE47CC" w:rsidRDefault="00DE47CC" w:rsidP="00EF352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نسخ به صورت الکترونیک ارسال می شود.</w:t>
            </w: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E47CC" w:rsidRPr="00CA5F4C" w:rsidRDefault="00DE47CC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DE47CC" w:rsidRPr="00243E1D" w:rsidRDefault="00DE47CC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420"/>
        </w:trPr>
        <w:tc>
          <w:tcPr>
            <w:tcW w:w="5805" w:type="dxa"/>
          </w:tcPr>
          <w:p w:rsidR="007B68E8" w:rsidRPr="00243E1D" w:rsidRDefault="007B68E8" w:rsidP="007B68E8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B68E8" w:rsidRPr="00CA5F4C" w:rsidTr="00FE2B61">
        <w:trPr>
          <w:trHeight w:val="437"/>
        </w:trPr>
        <w:tc>
          <w:tcPr>
            <w:tcW w:w="5805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  <w:r w:rsidR="00DE47CC">
              <w:rPr>
                <w:rFonts w:cs="B Mitra" w:hint="cs"/>
                <w:rtl/>
                <w:lang w:bidi="fa-IR"/>
              </w:rPr>
              <w:t>(ذکر چند مورد)</w:t>
            </w: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7B68E8" w:rsidRPr="00CA5F4C" w:rsidRDefault="007B68E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7B68E8" w:rsidRPr="00243E1D" w:rsidRDefault="007B68E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4D1B46" w:rsidRPr="00CA5F4C" w:rsidTr="00FE2B61">
        <w:trPr>
          <w:trHeight w:val="437"/>
        </w:trPr>
        <w:tc>
          <w:tcPr>
            <w:tcW w:w="5805" w:type="dxa"/>
          </w:tcPr>
          <w:p w:rsidR="004D1B46" w:rsidRPr="00243E1D" w:rsidRDefault="004D1B46" w:rsidP="00EF352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دستگاه پوز موجود است و تراکنش مالی انجام می شود.</w:t>
            </w:r>
          </w:p>
        </w:tc>
        <w:tc>
          <w:tcPr>
            <w:tcW w:w="425" w:type="dxa"/>
          </w:tcPr>
          <w:p w:rsidR="004D1B46" w:rsidRPr="00CA5F4C" w:rsidRDefault="004D1B46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4D1B46" w:rsidRPr="00CA5F4C" w:rsidRDefault="004D1B46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4D1B46" w:rsidRPr="00CA5F4C" w:rsidRDefault="004D1B46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4D1B46" w:rsidRPr="00243E1D" w:rsidRDefault="004D1B46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093988" w:rsidRPr="00CA5F4C" w:rsidTr="00FE2B61">
        <w:trPr>
          <w:trHeight w:val="437"/>
        </w:trPr>
        <w:tc>
          <w:tcPr>
            <w:tcW w:w="5805" w:type="dxa"/>
          </w:tcPr>
          <w:p w:rsidR="00093988" w:rsidRDefault="00093988" w:rsidP="00EF352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پوشش حرفه ای پرسنل مطابق با استاندارد می باشد .</w:t>
            </w:r>
          </w:p>
        </w:tc>
        <w:tc>
          <w:tcPr>
            <w:tcW w:w="425" w:type="dxa"/>
          </w:tcPr>
          <w:p w:rsidR="00093988" w:rsidRPr="00CA5F4C" w:rsidRDefault="0009398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093988" w:rsidRPr="00CA5F4C" w:rsidRDefault="0009398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093988" w:rsidRPr="00CA5F4C" w:rsidRDefault="00093988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093988" w:rsidRPr="00243E1D" w:rsidRDefault="00093988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CA5F4C" w:rsidRDefault="00CA5F4C" w:rsidP="00CA5F4C">
      <w:pPr>
        <w:bidi/>
        <w:rPr>
          <w:lang w:bidi="fa-IR"/>
        </w:rPr>
      </w:pPr>
    </w:p>
    <w:tbl>
      <w:tblPr>
        <w:tblStyle w:val="TableGrid1"/>
        <w:bidiVisual/>
        <w:tblW w:w="11334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5046"/>
        <w:gridCol w:w="4821"/>
      </w:tblGrid>
      <w:tr w:rsidR="00FA0090" w:rsidTr="00E24798">
        <w:trPr>
          <w:trHeight w:val="957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0090" w:rsidRDefault="00FA0090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90" w:rsidRPr="00DE47CC" w:rsidRDefault="004D1B46" w:rsidP="00C13C1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نقاط مثبت</w:t>
            </w:r>
            <w:r w:rsidR="00DE47CC" w:rsidRPr="00DE47CC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A0090" w:rsidTr="00E24798">
        <w:trPr>
          <w:trHeight w:val="3253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0090" w:rsidRDefault="00FA0090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90" w:rsidRPr="00DE47CC" w:rsidRDefault="00FA0090" w:rsidP="00C13C1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E47CC">
              <w:rPr>
                <w:rFonts w:cs="B Mitra" w:hint="cs"/>
                <w:sz w:val="24"/>
                <w:szCs w:val="24"/>
                <w:rtl/>
                <w:lang w:bidi="fa-IR"/>
              </w:rPr>
              <w:t>پیشن</w:t>
            </w:r>
            <w:r w:rsidR="00DE47CC" w:rsidRPr="00DE47CC">
              <w:rPr>
                <w:rFonts w:cs="B Mitra" w:hint="cs"/>
                <w:sz w:val="24"/>
                <w:szCs w:val="24"/>
                <w:rtl/>
                <w:lang w:bidi="fa-IR"/>
              </w:rPr>
              <w:t>هاد اصلاحی :</w:t>
            </w: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2B61" w:rsidRPr="00DE47CC" w:rsidRDefault="00FE2B61" w:rsidP="00FE2B6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A0090" w:rsidTr="00783A9F">
        <w:trPr>
          <w:trHeight w:val="530"/>
        </w:trPr>
        <w:tc>
          <w:tcPr>
            <w:tcW w:w="1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0090" w:rsidRPr="00DE47CC" w:rsidRDefault="00FA0090" w:rsidP="004F057D">
            <w:pPr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ضمن  دریافت یک رونوشت از گزارش متعهد می شوم ظرف مدت .</w:t>
            </w:r>
            <w:r w:rsidR="00DE47C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....</w:t>
            </w:r>
            <w:r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.......نواقص تذکر داده شده  طبق مفاد</w:t>
            </w:r>
            <w:r w:rsidR="00A30088" w:rsidRPr="00DE47CC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چک لیست فوق را ب</w:t>
            </w:r>
            <w:r w:rsidR="00A30088"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رطرف نموده و گزارش اقدامات اصلا</w:t>
            </w:r>
            <w:r w:rsidR="00A30088" w:rsidRPr="00DE47C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</w:t>
            </w:r>
            <w:r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ی را ب</w:t>
            </w:r>
            <w:r w:rsidR="00CA70A7" w:rsidRPr="00DE47C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صورت مکتوب به معاون</w:t>
            </w:r>
            <w:r w:rsidR="004F057D" w:rsidRPr="00DE47CC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 xml:space="preserve">ت درمان دانشگاه ناظر تحویل دهم </w:t>
            </w:r>
            <w:r w:rsidR="004F057D" w:rsidRPr="00DE47C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FA0090" w:rsidTr="00783A9F">
        <w:trPr>
          <w:trHeight w:val="58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0090" w:rsidRPr="00DE47CC" w:rsidRDefault="00FA00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E47CC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0090" w:rsidRPr="00DE47CC" w:rsidRDefault="00FA00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E47CC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FA0090" w:rsidTr="00783A9F">
        <w:trPr>
          <w:trHeight w:val="116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0090" w:rsidRPr="00DE47CC" w:rsidRDefault="00FA0090" w:rsidP="00E804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E47CC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0090" w:rsidRPr="00DE47CC" w:rsidRDefault="00FA00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E47CC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FA0090" w:rsidRDefault="00FA0090" w:rsidP="00FA0090">
      <w:pPr>
        <w:bidi/>
        <w:rPr>
          <w:rtl/>
          <w:lang w:bidi="fa-IR"/>
        </w:rPr>
      </w:pPr>
    </w:p>
    <w:sectPr w:rsidR="00FA0090" w:rsidSect="008D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64" w:rsidRDefault="00986C64" w:rsidP="002A08D3">
      <w:pPr>
        <w:spacing w:after="0" w:line="240" w:lineRule="auto"/>
      </w:pPr>
      <w:r>
        <w:separator/>
      </w:r>
    </w:p>
  </w:endnote>
  <w:endnote w:type="continuationSeparator" w:id="0">
    <w:p w:rsidR="00986C64" w:rsidRDefault="00986C64" w:rsidP="002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46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8D3" w:rsidRDefault="002A0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8D3" w:rsidRDefault="002A0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64" w:rsidRDefault="00986C64" w:rsidP="002A08D3">
      <w:pPr>
        <w:spacing w:after="0" w:line="240" w:lineRule="auto"/>
      </w:pPr>
      <w:r>
        <w:separator/>
      </w:r>
    </w:p>
  </w:footnote>
  <w:footnote w:type="continuationSeparator" w:id="0">
    <w:p w:rsidR="00986C64" w:rsidRDefault="00986C64" w:rsidP="002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8041B"/>
    <w:rsid w:val="00083F21"/>
    <w:rsid w:val="00093988"/>
    <w:rsid w:val="000A661F"/>
    <w:rsid w:val="000F5792"/>
    <w:rsid w:val="0010056F"/>
    <w:rsid w:val="00120661"/>
    <w:rsid w:val="0017125E"/>
    <w:rsid w:val="00197028"/>
    <w:rsid w:val="001A17DD"/>
    <w:rsid w:val="001A741C"/>
    <w:rsid w:val="001C23B0"/>
    <w:rsid w:val="001D0816"/>
    <w:rsid w:val="001E3F26"/>
    <w:rsid w:val="002032FA"/>
    <w:rsid w:val="00242056"/>
    <w:rsid w:val="00243E1D"/>
    <w:rsid w:val="002522A7"/>
    <w:rsid w:val="00257B11"/>
    <w:rsid w:val="00292DB4"/>
    <w:rsid w:val="002A08D3"/>
    <w:rsid w:val="002E1643"/>
    <w:rsid w:val="00320A32"/>
    <w:rsid w:val="00362E52"/>
    <w:rsid w:val="00383CE9"/>
    <w:rsid w:val="00385162"/>
    <w:rsid w:val="003D1FE6"/>
    <w:rsid w:val="003E70C9"/>
    <w:rsid w:val="004002D3"/>
    <w:rsid w:val="0040777C"/>
    <w:rsid w:val="0041662A"/>
    <w:rsid w:val="00482F81"/>
    <w:rsid w:val="00482FA9"/>
    <w:rsid w:val="004929D8"/>
    <w:rsid w:val="004B2EA3"/>
    <w:rsid w:val="004D1B46"/>
    <w:rsid w:val="004E25A5"/>
    <w:rsid w:val="004F057D"/>
    <w:rsid w:val="004F7330"/>
    <w:rsid w:val="00515FEB"/>
    <w:rsid w:val="0053251F"/>
    <w:rsid w:val="00534796"/>
    <w:rsid w:val="00550074"/>
    <w:rsid w:val="005554DD"/>
    <w:rsid w:val="00563D52"/>
    <w:rsid w:val="0057294A"/>
    <w:rsid w:val="005732C7"/>
    <w:rsid w:val="0058657C"/>
    <w:rsid w:val="00590733"/>
    <w:rsid w:val="00591E73"/>
    <w:rsid w:val="005A6358"/>
    <w:rsid w:val="005B2EC5"/>
    <w:rsid w:val="005D0F31"/>
    <w:rsid w:val="005E468F"/>
    <w:rsid w:val="005F0AA5"/>
    <w:rsid w:val="006137E3"/>
    <w:rsid w:val="00637FB7"/>
    <w:rsid w:val="00661930"/>
    <w:rsid w:val="006651CD"/>
    <w:rsid w:val="006701CD"/>
    <w:rsid w:val="0068493E"/>
    <w:rsid w:val="006967FE"/>
    <w:rsid w:val="006A45F7"/>
    <w:rsid w:val="006D6709"/>
    <w:rsid w:val="007778B0"/>
    <w:rsid w:val="00783A9F"/>
    <w:rsid w:val="007930E4"/>
    <w:rsid w:val="007A58D7"/>
    <w:rsid w:val="007B68E8"/>
    <w:rsid w:val="007F7FC9"/>
    <w:rsid w:val="00802592"/>
    <w:rsid w:val="0080657A"/>
    <w:rsid w:val="00813CFB"/>
    <w:rsid w:val="00896CD3"/>
    <w:rsid w:val="008B50FB"/>
    <w:rsid w:val="008D7B25"/>
    <w:rsid w:val="008E64A7"/>
    <w:rsid w:val="0097618F"/>
    <w:rsid w:val="00986C64"/>
    <w:rsid w:val="009D6C4C"/>
    <w:rsid w:val="009E0B6A"/>
    <w:rsid w:val="00A02B92"/>
    <w:rsid w:val="00A1798F"/>
    <w:rsid w:val="00A30088"/>
    <w:rsid w:val="00A722A9"/>
    <w:rsid w:val="00A940C9"/>
    <w:rsid w:val="00AA578B"/>
    <w:rsid w:val="00AB46A6"/>
    <w:rsid w:val="00B04550"/>
    <w:rsid w:val="00B2304C"/>
    <w:rsid w:val="00B47C52"/>
    <w:rsid w:val="00B51850"/>
    <w:rsid w:val="00BB74C0"/>
    <w:rsid w:val="00BC1BE0"/>
    <w:rsid w:val="00BF7031"/>
    <w:rsid w:val="00C12B91"/>
    <w:rsid w:val="00C13C1E"/>
    <w:rsid w:val="00C16C07"/>
    <w:rsid w:val="00C2661B"/>
    <w:rsid w:val="00C40A0F"/>
    <w:rsid w:val="00C4442A"/>
    <w:rsid w:val="00CA5F4C"/>
    <w:rsid w:val="00CA6235"/>
    <w:rsid w:val="00CA70A7"/>
    <w:rsid w:val="00D0517D"/>
    <w:rsid w:val="00D227B5"/>
    <w:rsid w:val="00D27CFE"/>
    <w:rsid w:val="00D3135E"/>
    <w:rsid w:val="00D53B8D"/>
    <w:rsid w:val="00D66CF8"/>
    <w:rsid w:val="00D77549"/>
    <w:rsid w:val="00D8297D"/>
    <w:rsid w:val="00DE47CC"/>
    <w:rsid w:val="00DF4581"/>
    <w:rsid w:val="00E24798"/>
    <w:rsid w:val="00E36E83"/>
    <w:rsid w:val="00E5069A"/>
    <w:rsid w:val="00E5463F"/>
    <w:rsid w:val="00E570CE"/>
    <w:rsid w:val="00E5775E"/>
    <w:rsid w:val="00E70243"/>
    <w:rsid w:val="00E8041C"/>
    <w:rsid w:val="00E93894"/>
    <w:rsid w:val="00EA5F3D"/>
    <w:rsid w:val="00ED75DB"/>
    <w:rsid w:val="00EE27E5"/>
    <w:rsid w:val="00EF352A"/>
    <w:rsid w:val="00EF7F76"/>
    <w:rsid w:val="00F40575"/>
    <w:rsid w:val="00F4170D"/>
    <w:rsid w:val="00F4440D"/>
    <w:rsid w:val="00F6104E"/>
    <w:rsid w:val="00F92C2D"/>
    <w:rsid w:val="00FA0090"/>
    <w:rsid w:val="00FB174C"/>
    <w:rsid w:val="00FC6739"/>
    <w:rsid w:val="00FE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845B4F6-717D-4E61-BD15-6E3C26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FA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D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ملیحه ملایی</cp:lastModifiedBy>
  <cp:revision>74</cp:revision>
  <cp:lastPrinted>2023-05-20T06:06:00Z</cp:lastPrinted>
  <dcterms:created xsi:type="dcterms:W3CDTF">2017-12-24T08:57:00Z</dcterms:created>
  <dcterms:modified xsi:type="dcterms:W3CDTF">2023-05-20T06:06:00Z</dcterms:modified>
</cp:coreProperties>
</file>